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7BE5D" w14:textId="77777777" w:rsidR="00F5021D" w:rsidRPr="00F5021D" w:rsidRDefault="00F5021D" w:rsidP="00F5021D">
      <w:pPr>
        <w:widowControl w:val="0"/>
        <w:suppressAutoHyphens/>
        <w:autoSpaceDE w:val="0"/>
        <w:autoSpaceDN w:val="0"/>
        <w:adjustRightInd w:val="0"/>
        <w:spacing w:after="180" w:line="480" w:lineRule="atLeast"/>
        <w:textAlignment w:val="center"/>
        <w:rPr>
          <w:rFonts w:ascii="GillSansMT-Bold" w:eastAsiaTheme="minorEastAsia" w:hAnsi="GillSansMT-Bold" w:cs="GillSansMT-Bold"/>
          <w:b/>
          <w:bCs/>
          <w:color w:val="000000"/>
          <w:szCs w:val="24"/>
        </w:rPr>
      </w:pPr>
      <w:r w:rsidRPr="00F5021D">
        <w:rPr>
          <w:rFonts w:ascii="GillSansMT-Bold" w:eastAsiaTheme="minorEastAsia" w:hAnsi="GillSansMT-Bold" w:cs="GillSansMT-Bold"/>
          <w:b/>
          <w:bCs/>
          <w:color w:val="000000"/>
          <w:szCs w:val="24"/>
        </w:rPr>
        <w:t>Board Effectiveness Criteria Item Bank</w:t>
      </w:r>
    </w:p>
    <w:p w14:paraId="794ED6AA"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sample forms provided in this section include a relatively limited number of items in various areas of board functioning. The following item bank includes items that may be used in addition to or instead of those provided in the samples. Boards may review these to identify if certain items are more pertinent to their needs than those in the samples. </w:t>
      </w:r>
    </w:p>
    <w:p w14:paraId="608E32A3"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 xml:space="preserve">I. Mission and Planning </w:t>
      </w:r>
    </w:p>
    <w:p w14:paraId="4A39933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are knowledgeable about the culture, history, and values of the district.</w:t>
      </w:r>
    </w:p>
    <w:p w14:paraId="1DD1BCCA"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regularly reviews the mission and purposes of the institution. </w:t>
      </w:r>
    </w:p>
    <w:p w14:paraId="12444503"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spends adequate time discussing future needs and direction of the district and community. They are able to identify opportunities and challenges.</w:t>
      </w:r>
    </w:p>
    <w:p w14:paraId="60183D5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assures there is an effective planning process and is appropriately involved in the process. </w:t>
      </w:r>
    </w:p>
    <w:p w14:paraId="1CF5DD64"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assures that district plans are responsive to community and student needs.</w:t>
      </w:r>
    </w:p>
    <w:p w14:paraId="1F3B144E"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has adopted and monitors the implementation of the district’s strategic and educational and facilities master plans. </w:t>
      </w:r>
    </w:p>
    <w:p w14:paraId="3886B90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sets annual goals or priorities in conjunction with the CEO and monitors progress toward them.</w:t>
      </w:r>
    </w:p>
    <w:p w14:paraId="2375CA7E"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 xml:space="preserve">II. Policy Role </w:t>
      </w:r>
    </w:p>
    <w:p w14:paraId="78E6020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clearly understands its policy role and differentiates its role from those of the CEO and college staff. </w:t>
      </w:r>
    </w:p>
    <w:p w14:paraId="2AE9114D"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is an independent policy-making body that reflects the public interest. </w:t>
      </w:r>
    </w:p>
    <w:p w14:paraId="4A497E87"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assures that the district complies with relevant laws, regulations and accreditation standards.</w:t>
      </w:r>
    </w:p>
    <w:p w14:paraId="0087ECC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board’s policy manual is up-to-date, relevant to the college mission, comprehensive, and useful.</w:t>
      </w:r>
    </w:p>
    <w:p w14:paraId="7993E2DD"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relies on board policy in making decisions and in guiding the work of the district. </w:t>
      </w:r>
    </w:p>
    <w:p w14:paraId="39731E31"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 xml:space="preserve">III. Board–CEO Relations </w:t>
      </w:r>
    </w:p>
    <w:p w14:paraId="1059FE04"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maintains a positive working relationship with and supports the CEO.</w:t>
      </w:r>
    </w:p>
    <w:p w14:paraId="6772AC7A"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clearly delegates the administration of the district to the CEO. </w:t>
      </w:r>
    </w:p>
    <w:p w14:paraId="354FBA0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communicates clear expectations for CEO performance and provides support and feedback. </w:t>
      </w:r>
    </w:p>
    <w:p w14:paraId="4EA0AC7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regularly evaluates CEO performance. </w:t>
      </w:r>
    </w:p>
    <w:p w14:paraId="0504DF6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periodically reviews the CEO contract to assure appropriate compensation and conditions of employment.</w:t>
      </w:r>
    </w:p>
    <w:p w14:paraId="26FAE5D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recognizes that only the board as a whole (not a single trustee) can direct the CEO.</w:t>
      </w:r>
    </w:p>
    <w:p w14:paraId="024FE271"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Board members adhere to the principle of “no surprises,” informing the CEO and the board </w:t>
      </w:r>
      <w:r w:rsidRPr="00F5021D">
        <w:rPr>
          <w:rFonts w:ascii="AGaramondPro-Regular" w:eastAsiaTheme="minorEastAsia" w:hAnsi="AGaramondPro-Regular" w:cs="AGaramondPro-Regular"/>
          <w:color w:val="000000"/>
          <w:sz w:val="22"/>
          <w:szCs w:val="22"/>
        </w:rPr>
        <w:lastRenderedPageBreak/>
        <w:t>chair when needed.</w:t>
      </w:r>
    </w:p>
    <w:p w14:paraId="4DAEB628"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IV. Community Relations &amp; Advocacy</w:t>
      </w:r>
    </w:p>
    <w:p w14:paraId="428F03B6"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act on behalf of the public and citizens in the district when making decisions.</w:t>
      </w:r>
    </w:p>
    <w:p w14:paraId="038E2C2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consider the perspectives of various interests in the community when making decisions.</w:t>
      </w:r>
    </w:p>
    <w:p w14:paraId="0041394E"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are active in community affairs.</w:t>
      </w:r>
    </w:p>
    <w:p w14:paraId="614003F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advocates on behalf of the district to local, state, and federal governments. </w:t>
      </w:r>
    </w:p>
    <w:p w14:paraId="6FE59930"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actively supports the district’s foundation(s) and fundraising efforts. </w:t>
      </w:r>
    </w:p>
    <w:p w14:paraId="5632A8F8"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V. Educational Quality and Student Success</w:t>
      </w:r>
    </w:p>
    <w:p w14:paraId="7089068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exhibits a high priority for student success.</w:t>
      </w:r>
    </w:p>
    <w:p w14:paraId="53CCAACF"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fosters and supports a climate of academic excellence.</w:t>
      </w:r>
    </w:p>
    <w:p w14:paraId="6DC1968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are knowledgeable about the educational programs and services of the district.</w:t>
      </w:r>
    </w:p>
    <w:p w14:paraId="36B9606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is knowledgeable about current and future educational and workforce training needs in the community.</w:t>
      </w:r>
    </w:p>
    <w:p w14:paraId="00B47730"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monitors the quality and effectiveness of the programs and services of the district.</w:t>
      </w:r>
    </w:p>
    <w:p w14:paraId="264D1427"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supports and is appropriately involved in the accreditation process.</w:t>
      </w:r>
    </w:p>
    <w:p w14:paraId="760AD9F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understands and protects academic freedom. </w:t>
      </w:r>
    </w:p>
    <w:p w14:paraId="19597845"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VI. Fiduciary Role</w:t>
      </w:r>
    </w:p>
    <w:p w14:paraId="1867B786"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assures that the budget supports priorities in the district’s plans. </w:t>
      </w:r>
    </w:p>
    <w:p w14:paraId="5DF85BF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policies assure effective fiscal management and internal controls.</w:t>
      </w:r>
    </w:p>
    <w:p w14:paraId="1BEC9C66"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regularly receives and reviews reports on the financial status of the institution.</w:t>
      </w:r>
    </w:p>
    <w:p w14:paraId="5F38B917"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reviews the annual audit and monitors responses to recommendations.</w:t>
      </w:r>
    </w:p>
    <w:p w14:paraId="1E217E80"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adopts and monitors the implementation of a facilities master plan.</w:t>
      </w:r>
    </w:p>
    <w:p w14:paraId="05FEB17F"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has provided appropriate direction for seeking external funding.</w:t>
      </w:r>
    </w:p>
    <w:p w14:paraId="16EC0312"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maintains an adequate financial reserve.</w:t>
      </w:r>
    </w:p>
    <w:p w14:paraId="773E8A46"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VII. Human Resources and Staff Relations</w:t>
      </w:r>
    </w:p>
    <w:p w14:paraId="354B9D3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board’s human resources policies provide for fair and equitable treatment of staff. </w:t>
      </w:r>
    </w:p>
    <w:p w14:paraId="30DBDFBD"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has established and follows clear parameters for collective bargaining.</w:t>
      </w:r>
    </w:p>
    <w:p w14:paraId="7E23206F"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has and follows protocols regarding communication with college employees.</w:t>
      </w:r>
    </w:p>
    <w:p w14:paraId="24A04D2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Board members refrain from attempting to manage employee work. </w:t>
      </w:r>
    </w:p>
    <w:p w14:paraId="34BD346D"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expects and supports faculty, staff, and student participation in college decision-making. </w:t>
      </w:r>
    </w:p>
    <w:p w14:paraId="59911037"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expects and fosters excellence and quality in employee performance.</w:t>
      </w:r>
    </w:p>
    <w:p w14:paraId="2D27E6E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expects and supports professional development programs for all employees. </w:t>
      </w:r>
    </w:p>
    <w:p w14:paraId="6ED2B683"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 xml:space="preserve">VIII. Board Leadership </w:t>
      </w:r>
    </w:p>
    <w:p w14:paraId="24B0A412"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understands and performs well its roles and responsibilities. </w:t>
      </w:r>
    </w:p>
    <w:p w14:paraId="27931058"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provides visionary governance leadership for the mission of the college. </w:t>
      </w:r>
    </w:p>
    <w:p w14:paraId="4FE6D696"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expresses its authority only as a unit. </w:t>
      </w:r>
    </w:p>
    <w:p w14:paraId="65C3116E"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Board members understand that they have no legal authority outside board meetings. </w:t>
      </w:r>
    </w:p>
    <w:p w14:paraId="07809A1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regularly reviews its code of ethics or standards of practice and has a policy on addressing violations of the code.</w:t>
      </w:r>
    </w:p>
    <w:p w14:paraId="6BA4BBEC"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uphold and comply with the board’s code of ethics.</w:t>
      </w:r>
    </w:p>
    <w:p w14:paraId="29CA3CD4"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Board members avoid conflicts of interest and the perception of such conflicts. </w:t>
      </w:r>
    </w:p>
    <w:p w14:paraId="4E8C60AA"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Once a decision is made, board members uphold the decision of the board. </w:t>
      </w:r>
    </w:p>
    <w:p w14:paraId="7A6536D1"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discussions and relationships reflect a climate of trust and respect.</w:t>
      </w:r>
    </w:p>
    <w:p w14:paraId="17F4E0B2"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Board members exhibit integrity and professionalism in fulfilling their role. </w:t>
      </w:r>
    </w:p>
    <w:p w14:paraId="285CCE61"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IX. Board Meetings</w:t>
      </w:r>
    </w:p>
    <w:p w14:paraId="0B661E2E"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meetings are conducted in an orderly, efficient manner.</w:t>
      </w:r>
    </w:p>
    <w:p w14:paraId="67A0945D"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meetings and study sessions provide sufficient opportunity to explore key issues.</w:t>
      </w:r>
    </w:p>
    <w:p w14:paraId="1668A2D5"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Agenda items provide sufficient information to enable good board decision-making.</w:t>
      </w:r>
    </w:p>
    <w:p w14:paraId="473B8033"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understands and adheres to the Brown Act. </w:t>
      </w:r>
    </w:p>
    <w:p w14:paraId="50B1EE8E"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maintains confidentiality of privileged information. </w:t>
      </w:r>
    </w:p>
    <w:p w14:paraId="5519A91B"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clearly understand how the agenda is developed and have an opportunity to contribute to that development.</w:t>
      </w:r>
    </w:p>
    <w:p w14:paraId="547963BF" w14:textId="77777777" w:rsidR="00F5021D" w:rsidRPr="00F5021D" w:rsidRDefault="00F5021D" w:rsidP="00F5021D">
      <w:pPr>
        <w:widowControl w:val="0"/>
        <w:suppressAutoHyphens/>
        <w:autoSpaceDE w:val="0"/>
        <w:autoSpaceDN w:val="0"/>
        <w:adjustRightInd w:val="0"/>
        <w:spacing w:after="180" w:line="288" w:lineRule="auto"/>
        <w:textAlignment w:val="center"/>
        <w:rPr>
          <w:rFonts w:ascii="AGaramondPro-Bold" w:eastAsiaTheme="minorEastAsia" w:hAnsi="AGaramondPro-Bold" w:cs="AGaramondPro-Bold"/>
          <w:b/>
          <w:bCs/>
          <w:color w:val="000000"/>
          <w:sz w:val="22"/>
          <w:szCs w:val="22"/>
        </w:rPr>
      </w:pPr>
      <w:r w:rsidRPr="00F5021D">
        <w:rPr>
          <w:rFonts w:ascii="AGaramondPro-Bold" w:eastAsiaTheme="minorEastAsia" w:hAnsi="AGaramondPro-Bold" w:cs="AGaramondPro-Bold"/>
          <w:b/>
          <w:bCs/>
          <w:color w:val="000000"/>
          <w:sz w:val="22"/>
          <w:szCs w:val="22"/>
        </w:rPr>
        <w:t>X. Board Education and Evaluation</w:t>
      </w:r>
    </w:p>
    <w:p w14:paraId="4FF488A7"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New members participate in a comprehensive orientation to the board and district.</w:t>
      </w:r>
    </w:p>
    <w:p w14:paraId="732B4894"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participate in trustee development activities.</w:t>
      </w:r>
    </w:p>
    <w:p w14:paraId="5E8C54C4"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Board members participate fully in study sessions, workshops, and retreats in order to improve their knowledge.</w:t>
      </w:r>
    </w:p>
    <w:p w14:paraId="489CDEE9"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 xml:space="preserve">The board evaluation process helps the board enhance its performance. </w:t>
      </w:r>
    </w:p>
    <w:p w14:paraId="45206636" w14:textId="77777777" w:rsidR="00F5021D" w:rsidRPr="00F5021D" w:rsidRDefault="00F5021D" w:rsidP="00F5021D">
      <w:pPr>
        <w:pStyle w:val="ListParagraph"/>
        <w:widowControl w:val="0"/>
        <w:numPr>
          <w:ilvl w:val="0"/>
          <w:numId w:val="2"/>
        </w:numPr>
        <w:suppressAutoHyphens/>
        <w:autoSpaceDE w:val="0"/>
        <w:autoSpaceDN w:val="0"/>
        <w:adjustRightInd w:val="0"/>
        <w:spacing w:after="180" w:line="288" w:lineRule="auto"/>
        <w:ind w:left="540"/>
        <w:textAlignment w:val="center"/>
        <w:rPr>
          <w:rFonts w:ascii="AGaramondPro-Regular" w:eastAsiaTheme="minorEastAsia" w:hAnsi="AGaramondPro-Regular" w:cs="AGaramondPro-Regular"/>
          <w:color w:val="000000"/>
          <w:sz w:val="22"/>
          <w:szCs w:val="22"/>
        </w:rPr>
      </w:pPr>
      <w:r w:rsidRPr="00F5021D">
        <w:rPr>
          <w:rFonts w:ascii="AGaramondPro-Regular" w:eastAsiaTheme="minorEastAsia" w:hAnsi="AGaramondPro-Regular" w:cs="AGaramondPro-Regular"/>
          <w:color w:val="000000"/>
          <w:sz w:val="22"/>
          <w:szCs w:val="22"/>
        </w:rPr>
        <w:t>The board measures its accomplishments against board goals.</w:t>
      </w:r>
    </w:p>
    <w:p w14:paraId="06FE1018" w14:textId="77777777" w:rsidR="00992CC5" w:rsidRDefault="00F5021D" w:rsidP="00F5021D">
      <w:pPr>
        <w:pStyle w:val="ListParagraph"/>
        <w:numPr>
          <w:ilvl w:val="0"/>
          <w:numId w:val="2"/>
        </w:numPr>
        <w:ind w:left="540"/>
      </w:pPr>
      <w:r w:rsidRPr="00F5021D">
        <w:rPr>
          <w:rFonts w:ascii="AGaramondPro-Regular" w:eastAsiaTheme="minorEastAsia" w:hAnsi="AGaramondPro-Regular" w:cs="AGaramondPro-Regular"/>
          <w:color w:val="000000"/>
          <w:sz w:val="22"/>
          <w:szCs w:val="22"/>
        </w:rPr>
        <w:t>The board has a process for and is willing to address trustees who are not fulfilling their responsibilities.</w:t>
      </w:r>
      <w:bookmarkStart w:id="0" w:name="_GoBack"/>
      <w:bookmarkEnd w:id="0"/>
    </w:p>
    <w:sectPr w:rsidR="00992CC5" w:rsidSect="00992C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illSansMT-Bold">
    <w:altName w:val="Gill Sans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61A"/>
    <w:multiLevelType w:val="hybridMultilevel"/>
    <w:tmpl w:val="9F38C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B060AA"/>
    <w:multiLevelType w:val="hybridMultilevel"/>
    <w:tmpl w:val="3B302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81E75"/>
    <w:multiLevelType w:val="hybridMultilevel"/>
    <w:tmpl w:val="3D262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E45101"/>
    <w:multiLevelType w:val="hybridMultilevel"/>
    <w:tmpl w:val="3536B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751931"/>
    <w:multiLevelType w:val="hybridMultilevel"/>
    <w:tmpl w:val="41523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7D02FD"/>
    <w:multiLevelType w:val="hybridMultilevel"/>
    <w:tmpl w:val="A4722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BA4F1E"/>
    <w:multiLevelType w:val="hybridMultilevel"/>
    <w:tmpl w:val="FED01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270C88"/>
    <w:multiLevelType w:val="hybridMultilevel"/>
    <w:tmpl w:val="F036D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48018C"/>
    <w:multiLevelType w:val="hybridMultilevel"/>
    <w:tmpl w:val="E8FEF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776250"/>
    <w:multiLevelType w:val="hybridMultilevel"/>
    <w:tmpl w:val="A04AC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6F36F8"/>
    <w:multiLevelType w:val="multilevel"/>
    <w:tmpl w:val="AAA2BB9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0"/>
  </w:num>
  <w:num w:numId="7">
    <w:abstractNumId w:val="9"/>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39"/>
    <w:rsid w:val="00986B39"/>
    <w:rsid w:val="00992CC5"/>
    <w:rsid w:val="00F5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365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39"/>
    <w:rPr>
      <w:rFonts w:ascii="Times New Roman" w:eastAsia="Times New Roman" w:hAnsi="Times New Roman" w:cs="Times New Roman"/>
      <w:szCs w:val="20"/>
    </w:rPr>
  </w:style>
  <w:style w:type="paragraph" w:styleId="Heading1">
    <w:name w:val="heading 1"/>
    <w:basedOn w:val="Normal"/>
    <w:next w:val="Normal"/>
    <w:link w:val="Heading1Char"/>
    <w:qFormat/>
    <w:rsid w:val="00986B3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B39"/>
    <w:rPr>
      <w:rFonts w:ascii="Arial" w:eastAsia="Times New Roman" w:hAnsi="Arial" w:cs="Arial"/>
      <w:b/>
      <w:bCs/>
      <w:kern w:val="32"/>
      <w:sz w:val="32"/>
      <w:szCs w:val="32"/>
    </w:rPr>
  </w:style>
  <w:style w:type="paragraph" w:customStyle="1" w:styleId="Subhead2">
    <w:name w:val="Subhead2"/>
    <w:basedOn w:val="Normal"/>
    <w:uiPriority w:val="99"/>
    <w:rsid w:val="00F5021D"/>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F5021D"/>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 w:type="paragraph" w:styleId="ListParagraph">
    <w:name w:val="List Paragraph"/>
    <w:basedOn w:val="Normal"/>
    <w:uiPriority w:val="34"/>
    <w:qFormat/>
    <w:rsid w:val="00F502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39"/>
    <w:rPr>
      <w:rFonts w:ascii="Times New Roman" w:eastAsia="Times New Roman" w:hAnsi="Times New Roman" w:cs="Times New Roman"/>
      <w:szCs w:val="20"/>
    </w:rPr>
  </w:style>
  <w:style w:type="paragraph" w:styleId="Heading1">
    <w:name w:val="heading 1"/>
    <w:basedOn w:val="Normal"/>
    <w:next w:val="Normal"/>
    <w:link w:val="Heading1Char"/>
    <w:qFormat/>
    <w:rsid w:val="00986B3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B39"/>
    <w:rPr>
      <w:rFonts w:ascii="Arial" w:eastAsia="Times New Roman" w:hAnsi="Arial" w:cs="Arial"/>
      <w:b/>
      <w:bCs/>
      <w:kern w:val="32"/>
      <w:sz w:val="32"/>
      <w:szCs w:val="32"/>
    </w:rPr>
  </w:style>
  <w:style w:type="paragraph" w:customStyle="1" w:styleId="Subhead2">
    <w:name w:val="Subhead2"/>
    <w:basedOn w:val="Normal"/>
    <w:uiPriority w:val="99"/>
    <w:rsid w:val="00F5021D"/>
    <w:pPr>
      <w:widowControl w:val="0"/>
      <w:suppressAutoHyphens/>
      <w:autoSpaceDE w:val="0"/>
      <w:autoSpaceDN w:val="0"/>
      <w:adjustRightInd w:val="0"/>
      <w:spacing w:line="480" w:lineRule="atLeast"/>
      <w:textAlignment w:val="center"/>
    </w:pPr>
    <w:rPr>
      <w:rFonts w:ascii="GillSansMT-Bold" w:eastAsiaTheme="minorEastAsia" w:hAnsi="GillSansMT-Bold" w:cs="GillSansMT-Bold"/>
      <w:b/>
      <w:bCs/>
      <w:color w:val="000000"/>
      <w:szCs w:val="24"/>
    </w:rPr>
  </w:style>
  <w:style w:type="paragraph" w:customStyle="1" w:styleId="NumberedList">
    <w:name w:val="Numbered List"/>
    <w:basedOn w:val="Normal"/>
    <w:uiPriority w:val="99"/>
    <w:rsid w:val="00F5021D"/>
    <w:pPr>
      <w:widowControl w:val="0"/>
      <w:suppressAutoHyphens/>
      <w:autoSpaceDE w:val="0"/>
      <w:autoSpaceDN w:val="0"/>
      <w:adjustRightInd w:val="0"/>
      <w:spacing w:after="180" w:line="288" w:lineRule="auto"/>
      <w:ind w:left="720" w:hanging="360"/>
      <w:textAlignment w:val="center"/>
    </w:pPr>
    <w:rPr>
      <w:rFonts w:ascii="AGaramondPro-Regular" w:eastAsiaTheme="minorEastAsia" w:hAnsi="AGaramondPro-Regular" w:cs="AGaramondPro-Regular"/>
      <w:color w:val="000000"/>
      <w:sz w:val="22"/>
      <w:szCs w:val="22"/>
    </w:rPr>
  </w:style>
  <w:style w:type="paragraph" w:styleId="ListParagraph">
    <w:name w:val="List Paragraph"/>
    <w:basedOn w:val="Normal"/>
    <w:uiPriority w:val="34"/>
    <w:qFormat/>
    <w:rsid w:val="00F5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5424</Characters>
  <Application>Microsoft Macintosh Word</Application>
  <DocSecurity>0</DocSecurity>
  <Lines>45</Lines>
  <Paragraphs>12</Paragraphs>
  <ScaleCrop>false</ScaleCrop>
  <Company>CCLC</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DeMelo</dc:creator>
  <cp:keywords/>
  <dc:description/>
  <cp:lastModifiedBy>Samantha DeMelo</cp:lastModifiedBy>
  <cp:revision>2</cp:revision>
  <dcterms:created xsi:type="dcterms:W3CDTF">2015-06-26T17:38:00Z</dcterms:created>
  <dcterms:modified xsi:type="dcterms:W3CDTF">2015-07-08T16:57:00Z</dcterms:modified>
</cp:coreProperties>
</file>