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08017" w14:textId="77777777" w:rsidR="003E4356" w:rsidRPr="003E4356" w:rsidRDefault="003E4356" w:rsidP="003E4356">
      <w:pPr>
        <w:widowControl w:val="0"/>
        <w:suppressAutoHyphens/>
        <w:autoSpaceDE w:val="0"/>
        <w:autoSpaceDN w:val="0"/>
        <w:adjustRightInd w:val="0"/>
        <w:spacing w:line="480" w:lineRule="atLeast"/>
        <w:textAlignment w:val="center"/>
        <w:rPr>
          <w:rFonts w:ascii="GillSansMT-Bold" w:eastAsiaTheme="minorEastAsia" w:hAnsi="GillSansMT-Bold" w:cs="GillSansMT-Bold"/>
          <w:b/>
          <w:bCs/>
          <w:color w:val="000000"/>
          <w:szCs w:val="24"/>
        </w:rPr>
      </w:pPr>
      <w:r w:rsidRPr="003E4356">
        <w:rPr>
          <w:rFonts w:ascii="GillSansMT-Bold" w:eastAsiaTheme="minorEastAsia" w:hAnsi="GillSansMT-Bold" w:cs="GillSansMT-Bold"/>
          <w:b/>
          <w:bCs/>
          <w:color w:val="000000"/>
          <w:szCs w:val="24"/>
        </w:rPr>
        <w:t xml:space="preserve">Sample 1: Evaluation of Progress on Board Priorities and Tasks </w:t>
      </w:r>
    </w:p>
    <w:p w14:paraId="0EBED185" w14:textId="77777777" w:rsidR="003E4356" w:rsidRPr="003E4356" w:rsidRDefault="003E4356" w:rsidP="003E4356">
      <w:pPr>
        <w:widowControl w:val="0"/>
        <w:suppressAutoHyphens/>
        <w:autoSpaceDE w:val="0"/>
        <w:autoSpaceDN w:val="0"/>
        <w:adjustRightInd w:val="0"/>
        <w:spacing w:before="180" w:after="180" w:line="288" w:lineRule="auto"/>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Annual board priorities and tasks are established each year and define the board’s role in furthering the goals of the district. They:</w:t>
      </w:r>
    </w:p>
    <w:p w14:paraId="497882A7" w14:textId="77777777" w:rsidR="003E4356" w:rsidRPr="003E4356" w:rsidRDefault="003E4356" w:rsidP="003C7F52">
      <w:pPr>
        <w:pStyle w:val="ListParagraph"/>
        <w:widowControl w:val="0"/>
        <w:numPr>
          <w:ilvl w:val="0"/>
          <w:numId w:val="8"/>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proofErr w:type="gramStart"/>
      <w:r w:rsidRPr="003E4356">
        <w:rPr>
          <w:rFonts w:ascii="AGaramondPro-Regular" w:eastAsiaTheme="minorEastAsia" w:hAnsi="AGaramondPro-Regular" w:cs="AGaramondPro-Regular"/>
          <w:color w:val="000000"/>
          <w:sz w:val="22"/>
          <w:szCs w:val="22"/>
        </w:rPr>
        <w:t>are</w:t>
      </w:r>
      <w:proofErr w:type="gramEnd"/>
      <w:r w:rsidRPr="003E4356">
        <w:rPr>
          <w:rFonts w:ascii="AGaramondPro-Regular" w:eastAsiaTheme="minorEastAsia" w:hAnsi="AGaramondPro-Regular" w:cs="AGaramondPro-Regular"/>
          <w:color w:val="000000"/>
          <w:sz w:val="22"/>
          <w:szCs w:val="22"/>
        </w:rPr>
        <w:t xml:space="preserve"> aligned with the major categories of district goals or directions. These tasks usually reflect board responsibilities for policy, delegation to the CEO, and monitoring institutional performance. They are developed in conjunction </w:t>
      </w:r>
      <w:bookmarkStart w:id="0" w:name="_GoBack"/>
      <w:bookmarkEnd w:id="0"/>
      <w:r w:rsidRPr="003E4356">
        <w:rPr>
          <w:rFonts w:ascii="AGaramondPro-Regular" w:eastAsiaTheme="minorEastAsia" w:hAnsi="AGaramondPro-Regular" w:cs="AGaramondPro-Regular"/>
          <w:color w:val="000000"/>
          <w:sz w:val="22"/>
          <w:szCs w:val="22"/>
        </w:rPr>
        <w:t xml:space="preserve">with the CEO. </w:t>
      </w:r>
    </w:p>
    <w:p w14:paraId="2F39285F" w14:textId="77777777" w:rsidR="003E4356" w:rsidRPr="003E4356" w:rsidRDefault="003E4356" w:rsidP="003C7F52">
      <w:pPr>
        <w:pStyle w:val="ListParagraph"/>
        <w:widowControl w:val="0"/>
        <w:numPr>
          <w:ilvl w:val="0"/>
          <w:numId w:val="8"/>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proofErr w:type="gramStart"/>
      <w:r w:rsidRPr="003E4356">
        <w:rPr>
          <w:rFonts w:ascii="AGaramondPro-Regular" w:eastAsiaTheme="minorEastAsia" w:hAnsi="AGaramondPro-Regular" w:cs="AGaramondPro-Regular"/>
          <w:color w:val="000000"/>
          <w:sz w:val="22"/>
          <w:szCs w:val="22"/>
        </w:rPr>
        <w:t>identify</w:t>
      </w:r>
      <w:proofErr w:type="gramEnd"/>
      <w:r w:rsidRPr="003E4356">
        <w:rPr>
          <w:rFonts w:ascii="AGaramondPro-Regular" w:eastAsiaTheme="minorEastAsia" w:hAnsi="AGaramondPro-Regular" w:cs="AGaramondPro-Regular"/>
          <w:color w:val="000000"/>
          <w:sz w:val="22"/>
          <w:szCs w:val="22"/>
        </w:rPr>
        <w:t xml:space="preserve"> specific tasks for the board to focus on or improve its functioning as an effective governing board.</w:t>
      </w:r>
    </w:p>
    <w:p w14:paraId="3ECE86F9" w14:textId="77777777" w:rsidR="003E4356" w:rsidRPr="003E4356" w:rsidRDefault="003E4356" w:rsidP="003E4356">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 xml:space="preserve">Board-identified priorities and tasks become criteria for the board self-evaluation. The board rates itself on how well it performed the task or role. </w:t>
      </w:r>
    </w:p>
    <w:p w14:paraId="141CDCB8" w14:textId="77777777" w:rsidR="003E4356" w:rsidRPr="003E4356" w:rsidRDefault="003E4356" w:rsidP="003E4356">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 xml:space="preserve">Board priorities are set annually and are unique to each board. Therefore the criteria are different for each board and often vary from year to year. Usually, there are one to three board priorities and tasks related to each district direction or goal. </w:t>
      </w:r>
    </w:p>
    <w:p w14:paraId="324C45A7" w14:textId="77777777" w:rsidR="003E4356" w:rsidRPr="003E4356" w:rsidRDefault="003E4356" w:rsidP="003E4356">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3E4356">
        <w:rPr>
          <w:rFonts w:ascii="AGaramondPro-BoldItalic" w:eastAsiaTheme="minorEastAsia" w:hAnsi="AGaramondPro-BoldItalic" w:cs="AGaramondPro-BoldItalic"/>
          <w:b/>
          <w:bCs/>
          <w:i/>
          <w:iCs/>
          <w:color w:val="000000"/>
          <w:sz w:val="22"/>
          <w:szCs w:val="22"/>
        </w:rPr>
        <w:t xml:space="preserve">The following example is for illustrative purposes only. The criteria for this type of evaluation must be derived from the district goals and board/CEO discussion. </w:t>
      </w:r>
    </w:p>
    <w:p w14:paraId="3318E419" w14:textId="77777777" w:rsidR="003E4356" w:rsidRPr="003E4356" w:rsidRDefault="003E4356" w:rsidP="003E4356">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A suggested rating scale for this type of survey is:</w:t>
      </w:r>
    </w:p>
    <w:p w14:paraId="5CF3510C" w14:textId="77777777" w:rsidR="003E4356" w:rsidRPr="003E4356" w:rsidRDefault="003E4356" w:rsidP="003E4356">
      <w:pPr>
        <w:widowControl w:val="0"/>
        <w:suppressAutoHyphens/>
        <w:autoSpaceDE w:val="0"/>
        <w:autoSpaceDN w:val="0"/>
        <w:adjustRightInd w:val="0"/>
        <w:spacing w:line="288" w:lineRule="auto"/>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ab/>
      </w:r>
      <w:proofErr w:type="gramStart"/>
      <w:r w:rsidRPr="003E4356">
        <w:rPr>
          <w:rFonts w:ascii="AGaramondPro-Regular" w:eastAsiaTheme="minorEastAsia" w:hAnsi="AGaramondPro-Regular" w:cs="AGaramondPro-Regular"/>
          <w:color w:val="000000"/>
          <w:sz w:val="22"/>
          <w:szCs w:val="22"/>
        </w:rPr>
        <w:t>5</w:t>
      </w:r>
      <w:r w:rsidRPr="003E4356">
        <w:rPr>
          <w:rFonts w:ascii="AGaramondPro-Regular" w:eastAsiaTheme="minorEastAsia" w:hAnsi="AGaramondPro-Regular" w:cs="AGaramondPro-Regular"/>
          <w:color w:val="000000"/>
          <w:sz w:val="22"/>
          <w:szCs w:val="22"/>
        </w:rPr>
        <w:tab/>
        <w:t>Outstanding progress</w:t>
      </w:r>
      <w:proofErr w:type="gramEnd"/>
      <w:r w:rsidRPr="003E4356">
        <w:rPr>
          <w:rFonts w:ascii="AGaramondPro-Regular" w:eastAsiaTheme="minorEastAsia" w:hAnsi="AGaramondPro-Regular" w:cs="AGaramondPro-Regular"/>
          <w:color w:val="000000"/>
          <w:sz w:val="22"/>
          <w:szCs w:val="22"/>
        </w:rPr>
        <w:t xml:space="preserve"> or performance</w:t>
      </w:r>
    </w:p>
    <w:p w14:paraId="7D791B83" w14:textId="77777777" w:rsidR="003E4356" w:rsidRPr="003E4356" w:rsidRDefault="003E4356" w:rsidP="003E4356">
      <w:pPr>
        <w:widowControl w:val="0"/>
        <w:suppressAutoHyphens/>
        <w:autoSpaceDE w:val="0"/>
        <w:autoSpaceDN w:val="0"/>
        <w:adjustRightInd w:val="0"/>
        <w:spacing w:line="288" w:lineRule="auto"/>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ab/>
      </w:r>
      <w:proofErr w:type="gramStart"/>
      <w:r w:rsidRPr="003E4356">
        <w:rPr>
          <w:rFonts w:ascii="AGaramondPro-Regular" w:eastAsiaTheme="minorEastAsia" w:hAnsi="AGaramondPro-Regular" w:cs="AGaramondPro-Regular"/>
          <w:color w:val="000000"/>
          <w:sz w:val="22"/>
          <w:szCs w:val="22"/>
        </w:rPr>
        <w:t>4</w:t>
      </w:r>
      <w:r w:rsidRPr="003E4356">
        <w:rPr>
          <w:rFonts w:ascii="AGaramondPro-Regular" w:eastAsiaTheme="minorEastAsia" w:hAnsi="AGaramondPro-Regular" w:cs="AGaramondPro-Regular"/>
          <w:color w:val="000000"/>
          <w:sz w:val="22"/>
          <w:szCs w:val="22"/>
        </w:rPr>
        <w:tab/>
        <w:t>Good progress</w:t>
      </w:r>
      <w:proofErr w:type="gramEnd"/>
      <w:r w:rsidRPr="003E4356">
        <w:rPr>
          <w:rFonts w:ascii="AGaramondPro-Regular" w:eastAsiaTheme="minorEastAsia" w:hAnsi="AGaramondPro-Regular" w:cs="AGaramondPro-Regular"/>
          <w:color w:val="000000"/>
          <w:sz w:val="22"/>
          <w:szCs w:val="22"/>
        </w:rPr>
        <w:t xml:space="preserve"> or performance</w:t>
      </w:r>
    </w:p>
    <w:p w14:paraId="2A216ED8" w14:textId="77777777" w:rsidR="003E4356" w:rsidRPr="003E4356" w:rsidRDefault="003E4356" w:rsidP="003E4356">
      <w:pPr>
        <w:widowControl w:val="0"/>
        <w:suppressAutoHyphens/>
        <w:autoSpaceDE w:val="0"/>
        <w:autoSpaceDN w:val="0"/>
        <w:adjustRightInd w:val="0"/>
        <w:spacing w:line="288" w:lineRule="auto"/>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ab/>
        <w:t>3</w:t>
      </w:r>
      <w:r w:rsidRPr="003E4356">
        <w:rPr>
          <w:rFonts w:ascii="AGaramondPro-Regular" w:eastAsiaTheme="minorEastAsia" w:hAnsi="AGaramondPro-Regular" w:cs="AGaramondPro-Regular"/>
          <w:color w:val="000000"/>
          <w:sz w:val="22"/>
          <w:szCs w:val="22"/>
        </w:rPr>
        <w:tab/>
        <w:t>Performance met acceptable standard</w:t>
      </w:r>
    </w:p>
    <w:p w14:paraId="5FA630DB" w14:textId="77777777" w:rsidR="003E4356" w:rsidRPr="003E4356" w:rsidRDefault="003E4356" w:rsidP="003E4356">
      <w:pPr>
        <w:widowControl w:val="0"/>
        <w:suppressAutoHyphens/>
        <w:autoSpaceDE w:val="0"/>
        <w:autoSpaceDN w:val="0"/>
        <w:adjustRightInd w:val="0"/>
        <w:spacing w:line="288" w:lineRule="auto"/>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ab/>
      </w:r>
      <w:proofErr w:type="gramStart"/>
      <w:r w:rsidRPr="003E4356">
        <w:rPr>
          <w:rFonts w:ascii="AGaramondPro-Regular" w:eastAsiaTheme="minorEastAsia" w:hAnsi="AGaramondPro-Regular" w:cs="AGaramondPro-Regular"/>
          <w:color w:val="000000"/>
          <w:sz w:val="22"/>
          <w:szCs w:val="22"/>
        </w:rPr>
        <w:t>2</w:t>
      </w:r>
      <w:r w:rsidRPr="003E4356">
        <w:rPr>
          <w:rFonts w:ascii="AGaramondPro-Regular" w:eastAsiaTheme="minorEastAsia" w:hAnsi="AGaramondPro-Regular" w:cs="AGaramondPro-Regular"/>
          <w:color w:val="000000"/>
          <w:sz w:val="22"/>
          <w:szCs w:val="22"/>
        </w:rPr>
        <w:tab/>
        <w:t>Poor progress</w:t>
      </w:r>
      <w:proofErr w:type="gramEnd"/>
      <w:r w:rsidRPr="003E4356">
        <w:rPr>
          <w:rFonts w:ascii="AGaramondPro-Regular" w:eastAsiaTheme="minorEastAsia" w:hAnsi="AGaramondPro-Regular" w:cs="AGaramondPro-Regular"/>
          <w:color w:val="000000"/>
          <w:sz w:val="22"/>
          <w:szCs w:val="22"/>
        </w:rPr>
        <w:t xml:space="preserve"> or performance </w:t>
      </w:r>
    </w:p>
    <w:p w14:paraId="05AD19FA" w14:textId="77777777" w:rsidR="003E4356" w:rsidRPr="003E4356" w:rsidRDefault="003E4356" w:rsidP="003E4356">
      <w:pPr>
        <w:widowControl w:val="0"/>
        <w:suppressAutoHyphens/>
        <w:autoSpaceDE w:val="0"/>
        <w:autoSpaceDN w:val="0"/>
        <w:adjustRightInd w:val="0"/>
        <w:spacing w:line="288" w:lineRule="auto"/>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ab/>
        <w:t>1</w:t>
      </w:r>
      <w:r w:rsidRPr="003E4356">
        <w:rPr>
          <w:rFonts w:ascii="AGaramondPro-Regular" w:eastAsiaTheme="minorEastAsia" w:hAnsi="AGaramondPro-Regular" w:cs="AGaramondPro-Regular"/>
          <w:color w:val="000000"/>
          <w:sz w:val="22"/>
          <w:szCs w:val="22"/>
        </w:rPr>
        <w:tab/>
        <w:t>No progress or performance</w:t>
      </w:r>
    </w:p>
    <w:p w14:paraId="5CCA4C2F" w14:textId="77777777" w:rsidR="003E4356" w:rsidRPr="003E4356" w:rsidRDefault="003E4356" w:rsidP="003E4356">
      <w:pPr>
        <w:widowControl w:val="0"/>
        <w:suppressAutoHyphens/>
        <w:autoSpaceDE w:val="0"/>
        <w:autoSpaceDN w:val="0"/>
        <w:adjustRightInd w:val="0"/>
        <w:spacing w:line="288" w:lineRule="auto"/>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ab/>
        <w:t>N/A</w:t>
      </w:r>
      <w:r w:rsidRPr="003E4356">
        <w:rPr>
          <w:rFonts w:ascii="AGaramondPro-Regular" w:eastAsiaTheme="minorEastAsia" w:hAnsi="AGaramondPro-Regular" w:cs="AGaramondPro-Regular"/>
          <w:color w:val="000000"/>
          <w:sz w:val="22"/>
          <w:szCs w:val="22"/>
        </w:rPr>
        <w:tab/>
        <w:t xml:space="preserve">Unable to evaluate </w:t>
      </w:r>
    </w:p>
    <w:p w14:paraId="57D98209" w14:textId="77777777" w:rsidR="003E4356" w:rsidRPr="003E4356" w:rsidRDefault="003E4356" w:rsidP="003E4356">
      <w:pPr>
        <w:widowControl w:val="0"/>
        <w:autoSpaceDE w:val="0"/>
        <w:autoSpaceDN w:val="0"/>
        <w:adjustRightInd w:val="0"/>
        <w:spacing w:line="288" w:lineRule="auto"/>
        <w:textAlignment w:val="center"/>
        <w:rPr>
          <w:rFonts w:ascii="TimesNewRomanPSMT" w:eastAsiaTheme="minorEastAsia" w:hAnsi="TimesNewRomanPSMT" w:cs="TimesNewRomanPSMT"/>
          <w:color w:val="000000"/>
          <w:szCs w:val="24"/>
        </w:rPr>
      </w:pPr>
    </w:p>
    <w:p w14:paraId="4E5E80BD" w14:textId="77777777" w:rsidR="003E4356" w:rsidRPr="003E4356" w:rsidRDefault="003E4356" w:rsidP="003E4356">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 xml:space="preserve">In the examples below, the headings in bold are examples of goals from a district’s strategic plan. The numbered items indicate a possible board role, the bulleted items are the specific tasks the board would do to fulfill the role. </w:t>
      </w:r>
    </w:p>
    <w:p w14:paraId="1A7DBAF7" w14:textId="77777777" w:rsidR="003E4356" w:rsidRPr="003E4356" w:rsidRDefault="003E4356" w:rsidP="003E4356">
      <w:pPr>
        <w:widowControl w:val="0"/>
        <w:suppressAutoHyphens/>
        <w:autoSpaceDE w:val="0"/>
        <w:autoSpaceDN w:val="0"/>
        <w:adjustRightInd w:val="0"/>
        <w:spacing w:line="288" w:lineRule="auto"/>
        <w:textAlignment w:val="center"/>
        <w:rPr>
          <w:rFonts w:ascii="AGaramondPro-Bold" w:eastAsiaTheme="minorEastAsia" w:hAnsi="AGaramondPro-Bold" w:cs="AGaramondPro-Bold"/>
          <w:b/>
          <w:bCs/>
          <w:color w:val="000000"/>
          <w:sz w:val="22"/>
          <w:szCs w:val="22"/>
        </w:rPr>
      </w:pPr>
      <w:r w:rsidRPr="003E4356">
        <w:rPr>
          <w:rFonts w:ascii="AGaramondPro-Bold" w:eastAsiaTheme="minorEastAsia" w:hAnsi="AGaramondPro-Bold" w:cs="AGaramondPro-Bold"/>
          <w:b/>
          <w:bCs/>
          <w:color w:val="000000"/>
          <w:sz w:val="22"/>
          <w:szCs w:val="22"/>
        </w:rPr>
        <w:t xml:space="preserve">District Direction: Student Access, Learning and Success </w:t>
      </w:r>
    </w:p>
    <w:p w14:paraId="647A4336" w14:textId="77777777" w:rsidR="003E4356" w:rsidRPr="003E4356" w:rsidRDefault="003E4356" w:rsidP="003E4356">
      <w:pPr>
        <w:pStyle w:val="ListParagraph"/>
        <w:widowControl w:val="0"/>
        <w:numPr>
          <w:ilvl w:val="0"/>
          <w:numId w:val="9"/>
        </w:numPr>
        <w:suppressAutoHyphens/>
        <w:autoSpaceDE w:val="0"/>
        <w:autoSpaceDN w:val="0"/>
        <w:adjustRightInd w:val="0"/>
        <w:spacing w:after="90" w:line="288" w:lineRule="auto"/>
        <w:ind w:left="540"/>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 xml:space="preserve">Continue the ongoing </w:t>
      </w:r>
      <w:proofErr w:type="gramStart"/>
      <w:r w:rsidRPr="003E4356">
        <w:rPr>
          <w:rFonts w:ascii="AGaramondPro-Regular" w:eastAsiaTheme="minorEastAsia" w:hAnsi="AGaramondPro-Regular" w:cs="AGaramondPro-Regular"/>
          <w:color w:val="000000"/>
          <w:sz w:val="22"/>
          <w:szCs w:val="22"/>
        </w:rPr>
        <w:t>board focus</w:t>
      </w:r>
      <w:proofErr w:type="gramEnd"/>
      <w:r w:rsidRPr="003E4356">
        <w:rPr>
          <w:rFonts w:ascii="AGaramondPro-Regular" w:eastAsiaTheme="minorEastAsia" w:hAnsi="AGaramondPro-Regular" w:cs="AGaramondPro-Regular"/>
          <w:color w:val="000000"/>
          <w:sz w:val="22"/>
          <w:szCs w:val="22"/>
        </w:rPr>
        <w:t xml:space="preserve"> on student success, including progress on closing the “achievement gap.” </w:t>
      </w:r>
    </w:p>
    <w:p w14:paraId="41715246" w14:textId="77777777" w:rsidR="003E4356" w:rsidRPr="00B21277" w:rsidRDefault="003E4356" w:rsidP="00B21277">
      <w:pPr>
        <w:pStyle w:val="ListParagraph"/>
        <w:widowControl w:val="0"/>
        <w:numPr>
          <w:ilvl w:val="0"/>
          <w:numId w:val="10"/>
        </w:numPr>
        <w:suppressAutoHyphens/>
        <w:autoSpaceDE w:val="0"/>
        <w:autoSpaceDN w:val="0"/>
        <w:adjustRightInd w:val="0"/>
        <w:spacing w:after="180" w:line="288" w:lineRule="auto"/>
        <w:ind w:left="108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 xml:space="preserve">Examples of board tasks include workshops or discussions at board meetings on programs targeting underachieving student groups; monitoring implementation of the student equity plan, etc. </w:t>
      </w:r>
    </w:p>
    <w:p w14:paraId="336E113C" w14:textId="77777777" w:rsidR="003E4356" w:rsidRPr="003E4356" w:rsidRDefault="003E4356" w:rsidP="003E4356">
      <w:pPr>
        <w:pStyle w:val="ListParagraph"/>
        <w:widowControl w:val="0"/>
        <w:numPr>
          <w:ilvl w:val="0"/>
          <w:numId w:val="9"/>
        </w:numPr>
        <w:suppressAutoHyphens/>
        <w:autoSpaceDE w:val="0"/>
        <w:autoSpaceDN w:val="0"/>
        <w:adjustRightInd w:val="0"/>
        <w:spacing w:after="90" w:line="288" w:lineRule="auto"/>
        <w:ind w:left="540"/>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 xml:space="preserve">Strengthen the board’s capacity to use metrics to monitor district progress on student success. </w:t>
      </w:r>
    </w:p>
    <w:p w14:paraId="2098016B" w14:textId="77777777" w:rsidR="003E4356" w:rsidRPr="00B21277" w:rsidRDefault="003E4356" w:rsidP="00B21277">
      <w:pPr>
        <w:pStyle w:val="ListParagraph"/>
        <w:widowControl w:val="0"/>
        <w:numPr>
          <w:ilvl w:val="0"/>
          <w:numId w:val="10"/>
        </w:numPr>
        <w:suppressAutoHyphens/>
        <w:autoSpaceDE w:val="0"/>
        <w:autoSpaceDN w:val="0"/>
        <w:adjustRightInd w:val="0"/>
        <w:spacing w:after="180" w:line="288" w:lineRule="auto"/>
        <w:ind w:left="108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Examples of board tasks include board workshops on various accountability reporting systems, how to use data as information for decision-making.</w:t>
      </w:r>
    </w:p>
    <w:p w14:paraId="027B1874" w14:textId="77777777" w:rsidR="003E4356" w:rsidRPr="003E4356" w:rsidRDefault="003E4356" w:rsidP="003E4356">
      <w:pPr>
        <w:pStyle w:val="ListParagraph"/>
        <w:widowControl w:val="0"/>
        <w:numPr>
          <w:ilvl w:val="0"/>
          <w:numId w:val="9"/>
        </w:numPr>
        <w:suppressAutoHyphens/>
        <w:autoSpaceDE w:val="0"/>
        <w:autoSpaceDN w:val="0"/>
        <w:adjustRightInd w:val="0"/>
        <w:spacing w:after="90" w:line="288" w:lineRule="auto"/>
        <w:ind w:left="540"/>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lastRenderedPageBreak/>
        <w:t xml:space="preserve">Strengthen the relationship with local high schools. </w:t>
      </w:r>
    </w:p>
    <w:p w14:paraId="4765BE8E" w14:textId="77777777" w:rsidR="003E4356" w:rsidRPr="00B21277" w:rsidRDefault="003E4356" w:rsidP="00B21277">
      <w:pPr>
        <w:pStyle w:val="ListParagraph"/>
        <w:widowControl w:val="0"/>
        <w:numPr>
          <w:ilvl w:val="0"/>
          <w:numId w:val="10"/>
        </w:numPr>
        <w:suppressAutoHyphens/>
        <w:autoSpaceDE w:val="0"/>
        <w:autoSpaceDN w:val="0"/>
        <w:adjustRightInd w:val="0"/>
        <w:spacing w:after="180" w:line="288" w:lineRule="auto"/>
        <w:ind w:left="108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Examples of board tasks include joint meeting with school district boards, reports on outreach efforts, reports on the success of students from local high schools, etc.</w:t>
      </w:r>
    </w:p>
    <w:p w14:paraId="254C3212" w14:textId="77777777" w:rsidR="003E4356" w:rsidRPr="003E4356" w:rsidRDefault="003E4356" w:rsidP="003E4356">
      <w:pPr>
        <w:widowControl w:val="0"/>
        <w:suppressAutoHyphens/>
        <w:autoSpaceDE w:val="0"/>
        <w:autoSpaceDN w:val="0"/>
        <w:adjustRightInd w:val="0"/>
        <w:spacing w:line="288" w:lineRule="auto"/>
        <w:textAlignment w:val="center"/>
        <w:rPr>
          <w:rFonts w:ascii="AGaramondPro-Bold" w:eastAsiaTheme="minorEastAsia" w:hAnsi="AGaramondPro-Bold" w:cs="AGaramondPro-Bold"/>
          <w:b/>
          <w:bCs/>
          <w:color w:val="000000"/>
          <w:sz w:val="22"/>
          <w:szCs w:val="22"/>
        </w:rPr>
      </w:pPr>
      <w:r w:rsidRPr="003E4356">
        <w:rPr>
          <w:rFonts w:ascii="AGaramondPro-Bold" w:eastAsiaTheme="minorEastAsia" w:hAnsi="AGaramondPro-Bold" w:cs="AGaramondPro-Bold"/>
          <w:b/>
          <w:bCs/>
          <w:color w:val="000000"/>
          <w:sz w:val="22"/>
          <w:szCs w:val="22"/>
        </w:rPr>
        <w:t xml:space="preserve">District Direction: Fiscal Stability and Vitality </w:t>
      </w:r>
    </w:p>
    <w:p w14:paraId="772996E8" w14:textId="77777777" w:rsidR="003E4356" w:rsidRPr="003E4356" w:rsidRDefault="003E4356" w:rsidP="003E4356">
      <w:pPr>
        <w:pStyle w:val="ListParagraph"/>
        <w:widowControl w:val="0"/>
        <w:numPr>
          <w:ilvl w:val="0"/>
          <w:numId w:val="9"/>
        </w:numPr>
        <w:suppressAutoHyphens/>
        <w:autoSpaceDE w:val="0"/>
        <w:autoSpaceDN w:val="0"/>
        <w:adjustRightInd w:val="0"/>
        <w:spacing w:after="90" w:line="288" w:lineRule="auto"/>
        <w:ind w:left="540"/>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pacing w:val="-2"/>
          <w:sz w:val="22"/>
          <w:szCs w:val="22"/>
        </w:rPr>
        <w:t xml:space="preserve">Monitor the fiscal health of the district; expect that the board </w:t>
      </w:r>
      <w:proofErr w:type="gramStart"/>
      <w:r w:rsidRPr="003E4356">
        <w:rPr>
          <w:rFonts w:ascii="AGaramondPro-Regular" w:eastAsiaTheme="minorEastAsia" w:hAnsi="AGaramondPro-Regular" w:cs="AGaramondPro-Regular"/>
          <w:color w:val="000000"/>
          <w:spacing w:val="-2"/>
          <w:sz w:val="22"/>
          <w:szCs w:val="22"/>
        </w:rPr>
        <w:t>receives</w:t>
      </w:r>
      <w:proofErr w:type="gramEnd"/>
      <w:r w:rsidRPr="003E4356">
        <w:rPr>
          <w:rFonts w:ascii="AGaramondPro-Regular" w:eastAsiaTheme="minorEastAsia" w:hAnsi="AGaramondPro-Regular" w:cs="AGaramondPro-Regular"/>
          <w:color w:val="000000"/>
          <w:spacing w:val="-2"/>
          <w:sz w:val="22"/>
          <w:szCs w:val="22"/>
        </w:rPr>
        <w:t xml:space="preserve"> accurate and timely fiscal reports.</w:t>
      </w:r>
    </w:p>
    <w:p w14:paraId="118F2F3B" w14:textId="77777777" w:rsidR="003E4356" w:rsidRPr="00B21277" w:rsidRDefault="003E4356" w:rsidP="00B21277">
      <w:pPr>
        <w:pStyle w:val="ListParagraph"/>
        <w:widowControl w:val="0"/>
        <w:numPr>
          <w:ilvl w:val="0"/>
          <w:numId w:val="10"/>
        </w:numPr>
        <w:suppressAutoHyphens/>
        <w:autoSpaceDE w:val="0"/>
        <w:autoSpaceDN w:val="0"/>
        <w:adjustRightInd w:val="0"/>
        <w:spacing w:after="180" w:line="288" w:lineRule="auto"/>
        <w:ind w:left="108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Examples of board tasks include: discussing monthly or quarterly fiscal reports, participating in a study session on the findings and response to the annual audit.</w:t>
      </w:r>
    </w:p>
    <w:p w14:paraId="3D13A21B" w14:textId="77777777" w:rsidR="003E4356" w:rsidRPr="003E4356" w:rsidRDefault="003E4356" w:rsidP="003E4356">
      <w:pPr>
        <w:pStyle w:val="ListParagraph"/>
        <w:widowControl w:val="0"/>
        <w:numPr>
          <w:ilvl w:val="0"/>
          <w:numId w:val="9"/>
        </w:numPr>
        <w:suppressAutoHyphens/>
        <w:autoSpaceDE w:val="0"/>
        <w:autoSpaceDN w:val="0"/>
        <w:adjustRightInd w:val="0"/>
        <w:spacing w:after="90" w:line="288" w:lineRule="auto"/>
        <w:ind w:left="540"/>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Ensure that the district has resources to meet long-term needs.</w:t>
      </w:r>
    </w:p>
    <w:p w14:paraId="353EBE13" w14:textId="77777777" w:rsidR="003E4356" w:rsidRPr="00B21277" w:rsidRDefault="003E4356" w:rsidP="00B21277">
      <w:pPr>
        <w:pStyle w:val="ListParagraph"/>
        <w:widowControl w:val="0"/>
        <w:numPr>
          <w:ilvl w:val="0"/>
          <w:numId w:val="10"/>
        </w:numPr>
        <w:suppressAutoHyphens/>
        <w:autoSpaceDE w:val="0"/>
        <w:autoSpaceDN w:val="0"/>
        <w:adjustRightInd w:val="0"/>
        <w:spacing w:after="180" w:line="288" w:lineRule="auto"/>
        <w:ind w:left="108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Examples include: expect and approve plans to fund retirement benefits and fund long-term liabilities.</w:t>
      </w:r>
    </w:p>
    <w:p w14:paraId="430EB7B1" w14:textId="77777777" w:rsidR="003E4356" w:rsidRPr="003E4356" w:rsidRDefault="003E4356" w:rsidP="003E4356">
      <w:pPr>
        <w:widowControl w:val="0"/>
        <w:suppressAutoHyphens/>
        <w:autoSpaceDE w:val="0"/>
        <w:autoSpaceDN w:val="0"/>
        <w:adjustRightInd w:val="0"/>
        <w:spacing w:line="288" w:lineRule="auto"/>
        <w:textAlignment w:val="center"/>
        <w:rPr>
          <w:rFonts w:ascii="AGaramondPro-Bold" w:eastAsiaTheme="minorEastAsia" w:hAnsi="AGaramondPro-Bold" w:cs="AGaramondPro-Bold"/>
          <w:b/>
          <w:bCs/>
          <w:color w:val="000000"/>
          <w:sz w:val="22"/>
          <w:szCs w:val="22"/>
        </w:rPr>
      </w:pPr>
      <w:r w:rsidRPr="003E4356">
        <w:rPr>
          <w:rFonts w:ascii="AGaramondPro-Bold" w:eastAsiaTheme="minorEastAsia" w:hAnsi="AGaramondPro-Bold" w:cs="AGaramondPro-Bold"/>
          <w:b/>
          <w:bCs/>
          <w:color w:val="000000"/>
          <w:sz w:val="22"/>
          <w:szCs w:val="22"/>
        </w:rPr>
        <w:t>District Direction: Community and Economic Development</w:t>
      </w:r>
    </w:p>
    <w:p w14:paraId="26A9E482" w14:textId="77777777" w:rsidR="003E4356" w:rsidRPr="003E4356" w:rsidRDefault="003E4356" w:rsidP="003E4356">
      <w:pPr>
        <w:pStyle w:val="ListParagraph"/>
        <w:widowControl w:val="0"/>
        <w:numPr>
          <w:ilvl w:val="0"/>
          <w:numId w:val="9"/>
        </w:numPr>
        <w:suppressAutoHyphens/>
        <w:autoSpaceDE w:val="0"/>
        <w:autoSpaceDN w:val="0"/>
        <w:adjustRightInd w:val="0"/>
        <w:spacing w:after="90" w:line="288" w:lineRule="auto"/>
        <w:ind w:left="540"/>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 xml:space="preserve">Ensure that district career and technical programs meet community and regional workforce needs. </w:t>
      </w:r>
    </w:p>
    <w:p w14:paraId="5EB01595" w14:textId="77777777" w:rsidR="003E4356" w:rsidRPr="00B21277" w:rsidRDefault="003E4356" w:rsidP="00B21277">
      <w:pPr>
        <w:pStyle w:val="ListParagraph"/>
        <w:widowControl w:val="0"/>
        <w:numPr>
          <w:ilvl w:val="0"/>
          <w:numId w:val="10"/>
        </w:numPr>
        <w:suppressAutoHyphens/>
        <w:autoSpaceDE w:val="0"/>
        <w:autoSpaceDN w:val="0"/>
        <w:adjustRightInd w:val="0"/>
        <w:spacing w:after="180" w:line="288" w:lineRule="auto"/>
        <w:ind w:left="108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 xml:space="preserve">Examples of board tasks include: review and discuss reports on the alignment between regional workforce needs and college programs, student achievement, and/or program review processes and how they are used to improve programs. </w:t>
      </w:r>
    </w:p>
    <w:p w14:paraId="2438E479" w14:textId="77777777" w:rsidR="003E4356" w:rsidRPr="003E4356" w:rsidRDefault="003E4356" w:rsidP="003E4356">
      <w:pPr>
        <w:widowControl w:val="0"/>
        <w:suppressAutoHyphens/>
        <w:autoSpaceDE w:val="0"/>
        <w:autoSpaceDN w:val="0"/>
        <w:adjustRightInd w:val="0"/>
        <w:spacing w:line="288" w:lineRule="auto"/>
        <w:textAlignment w:val="center"/>
        <w:rPr>
          <w:rFonts w:ascii="AGaramondPro-Bold" w:eastAsiaTheme="minorEastAsia" w:hAnsi="AGaramondPro-Bold" w:cs="AGaramondPro-Bold"/>
          <w:b/>
          <w:bCs/>
          <w:color w:val="000000"/>
          <w:sz w:val="22"/>
          <w:szCs w:val="22"/>
        </w:rPr>
      </w:pPr>
      <w:r w:rsidRPr="003E4356">
        <w:rPr>
          <w:rFonts w:ascii="AGaramondPro-Bold" w:eastAsiaTheme="minorEastAsia" w:hAnsi="AGaramondPro-Bold" w:cs="AGaramondPro-Bold"/>
          <w:b/>
          <w:bCs/>
          <w:color w:val="000000"/>
          <w:sz w:val="22"/>
          <w:szCs w:val="22"/>
        </w:rPr>
        <w:t>District Direction: Organizational Effectiveness</w:t>
      </w:r>
    </w:p>
    <w:p w14:paraId="35A1CCA6" w14:textId="77777777" w:rsidR="003E4356" w:rsidRPr="003E4356" w:rsidRDefault="003E4356" w:rsidP="003E4356">
      <w:pPr>
        <w:pStyle w:val="ListParagraph"/>
        <w:widowControl w:val="0"/>
        <w:numPr>
          <w:ilvl w:val="0"/>
          <w:numId w:val="9"/>
        </w:numPr>
        <w:suppressAutoHyphens/>
        <w:autoSpaceDE w:val="0"/>
        <w:autoSpaceDN w:val="0"/>
        <w:adjustRightInd w:val="0"/>
        <w:spacing w:after="90" w:line="288" w:lineRule="auto"/>
        <w:ind w:left="540"/>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Ensure that communication and decision-making processes throughout the district are inclusive and function efficiently and effectively.</w:t>
      </w:r>
    </w:p>
    <w:p w14:paraId="1B34DC37" w14:textId="77777777" w:rsidR="003E4356" w:rsidRPr="00B21277" w:rsidRDefault="003E4356" w:rsidP="00B21277">
      <w:pPr>
        <w:pStyle w:val="ListParagraph"/>
        <w:widowControl w:val="0"/>
        <w:numPr>
          <w:ilvl w:val="0"/>
          <w:numId w:val="10"/>
        </w:numPr>
        <w:suppressAutoHyphens/>
        <w:autoSpaceDE w:val="0"/>
        <w:autoSpaceDN w:val="0"/>
        <w:adjustRightInd w:val="0"/>
        <w:spacing w:after="180" w:line="288" w:lineRule="auto"/>
        <w:ind w:left="108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An example of a board task would be to review and discuss reports on these processes.</w:t>
      </w:r>
    </w:p>
    <w:p w14:paraId="55F0F0A3" w14:textId="77777777" w:rsidR="003E4356" w:rsidRPr="003E4356" w:rsidRDefault="003E4356" w:rsidP="003E4356">
      <w:pPr>
        <w:pStyle w:val="ListParagraph"/>
        <w:widowControl w:val="0"/>
        <w:numPr>
          <w:ilvl w:val="0"/>
          <w:numId w:val="9"/>
        </w:numPr>
        <w:suppressAutoHyphens/>
        <w:autoSpaceDE w:val="0"/>
        <w:autoSpaceDN w:val="0"/>
        <w:adjustRightInd w:val="0"/>
        <w:spacing w:after="90" w:line="288" w:lineRule="auto"/>
        <w:ind w:left="540"/>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pacing w:val="-2"/>
          <w:sz w:val="22"/>
          <w:szCs w:val="22"/>
        </w:rPr>
        <w:t>Ensure that district technology plans and services are up-to-date in terms of supporting student success.</w:t>
      </w:r>
    </w:p>
    <w:p w14:paraId="174C8212" w14:textId="77777777" w:rsidR="003E4356" w:rsidRPr="00B21277" w:rsidRDefault="003E4356" w:rsidP="00B21277">
      <w:pPr>
        <w:pStyle w:val="ListParagraph"/>
        <w:widowControl w:val="0"/>
        <w:numPr>
          <w:ilvl w:val="0"/>
          <w:numId w:val="10"/>
        </w:numPr>
        <w:suppressAutoHyphens/>
        <w:autoSpaceDE w:val="0"/>
        <w:autoSpaceDN w:val="0"/>
        <w:adjustRightInd w:val="0"/>
        <w:spacing w:after="180" w:line="288" w:lineRule="auto"/>
        <w:ind w:left="108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An example of a board task is to review and approve an updated technology plan that addresses the relationship to student success.</w:t>
      </w:r>
    </w:p>
    <w:p w14:paraId="6D26B2BF" w14:textId="77777777" w:rsidR="003E4356" w:rsidRPr="003E4356" w:rsidRDefault="003E4356" w:rsidP="003E4356">
      <w:pPr>
        <w:widowControl w:val="0"/>
        <w:suppressAutoHyphens/>
        <w:autoSpaceDE w:val="0"/>
        <w:autoSpaceDN w:val="0"/>
        <w:adjustRightInd w:val="0"/>
        <w:spacing w:line="288" w:lineRule="auto"/>
        <w:textAlignment w:val="center"/>
        <w:rPr>
          <w:rFonts w:ascii="AGaramondPro-Bold" w:eastAsiaTheme="minorEastAsia" w:hAnsi="AGaramondPro-Bold" w:cs="AGaramondPro-Bold"/>
          <w:b/>
          <w:bCs/>
          <w:color w:val="000000"/>
          <w:sz w:val="22"/>
          <w:szCs w:val="22"/>
        </w:rPr>
      </w:pPr>
      <w:r w:rsidRPr="003E4356">
        <w:rPr>
          <w:rFonts w:ascii="AGaramondPro-Bold" w:eastAsiaTheme="minorEastAsia" w:hAnsi="AGaramondPro-Bold" w:cs="AGaramondPro-Bold"/>
          <w:b/>
          <w:bCs/>
          <w:color w:val="000000"/>
          <w:sz w:val="22"/>
          <w:szCs w:val="22"/>
        </w:rPr>
        <w:t xml:space="preserve">Board Functioning </w:t>
      </w:r>
    </w:p>
    <w:p w14:paraId="00A42ACC" w14:textId="77777777" w:rsidR="003E4356" w:rsidRPr="003E4356" w:rsidRDefault="003E4356" w:rsidP="003E4356">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3E4356">
        <w:rPr>
          <w:rFonts w:ascii="AGaramondPro-Italic" w:eastAsiaTheme="minorEastAsia" w:hAnsi="AGaramondPro-Italic" w:cs="AGaramondPro-Italic"/>
          <w:i/>
          <w:iCs/>
          <w:color w:val="000000"/>
          <w:sz w:val="22"/>
          <w:szCs w:val="22"/>
        </w:rPr>
        <w:t>Priorities and tasks in this section are specific to each board, as it identifies areas for improvement. The following are just three examples.</w:t>
      </w:r>
    </w:p>
    <w:p w14:paraId="350A8CAE" w14:textId="77777777" w:rsidR="003E4356" w:rsidRPr="00B21277" w:rsidRDefault="003E4356" w:rsidP="00B21277">
      <w:pPr>
        <w:pStyle w:val="ListParagraph"/>
        <w:widowControl w:val="0"/>
        <w:numPr>
          <w:ilvl w:val="0"/>
          <w:numId w:val="11"/>
        </w:numPr>
        <w:suppressAutoHyphens/>
        <w:autoSpaceDE w:val="0"/>
        <w:autoSpaceDN w:val="0"/>
        <w:adjustRightInd w:val="0"/>
        <w:spacing w:after="90" w:line="288" w:lineRule="auto"/>
        <w:ind w:left="54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 xml:space="preserve">Board members will strengthen their knowledge of principles of effective </w:t>
      </w:r>
      <w:proofErr w:type="spellStart"/>
      <w:r w:rsidRPr="00B21277">
        <w:rPr>
          <w:rFonts w:ascii="AGaramondPro-Regular" w:eastAsiaTheme="minorEastAsia" w:hAnsi="AGaramondPro-Regular" w:cs="AGaramondPro-Regular"/>
          <w:color w:val="000000"/>
          <w:sz w:val="22"/>
          <w:szCs w:val="22"/>
        </w:rPr>
        <w:t>boardsmanship</w:t>
      </w:r>
      <w:proofErr w:type="spellEnd"/>
      <w:r w:rsidRPr="00B21277">
        <w:rPr>
          <w:rFonts w:ascii="AGaramondPro-Regular" w:eastAsiaTheme="minorEastAsia" w:hAnsi="AGaramondPro-Regular" w:cs="AGaramondPro-Regular"/>
          <w:color w:val="000000"/>
          <w:sz w:val="22"/>
          <w:szCs w:val="22"/>
        </w:rPr>
        <w:t xml:space="preserve">. </w:t>
      </w:r>
    </w:p>
    <w:p w14:paraId="70C3CE5E" w14:textId="77777777" w:rsidR="003E4356" w:rsidRPr="00B21277" w:rsidRDefault="003E4356" w:rsidP="00B21277">
      <w:pPr>
        <w:pStyle w:val="ListParagraph"/>
        <w:widowControl w:val="0"/>
        <w:numPr>
          <w:ilvl w:val="0"/>
          <w:numId w:val="10"/>
        </w:numPr>
        <w:suppressAutoHyphens/>
        <w:autoSpaceDE w:val="0"/>
        <w:autoSpaceDN w:val="0"/>
        <w:adjustRightInd w:val="0"/>
        <w:spacing w:after="180" w:line="288" w:lineRule="auto"/>
        <w:ind w:left="108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 xml:space="preserve">Tasks could include participation in the League’s </w:t>
      </w:r>
      <w:r w:rsidRPr="00B21277">
        <w:rPr>
          <w:rFonts w:ascii="AGaramondPro-Italic" w:eastAsiaTheme="minorEastAsia" w:hAnsi="AGaramondPro-Italic" w:cs="AGaramondPro-Italic"/>
          <w:i/>
          <w:iCs/>
          <w:color w:val="000000"/>
          <w:sz w:val="22"/>
          <w:szCs w:val="22"/>
        </w:rPr>
        <w:t>Excellence in Trusteeship</w:t>
      </w:r>
      <w:r w:rsidRPr="00B21277">
        <w:rPr>
          <w:rFonts w:ascii="AGaramondPro-Regular" w:eastAsiaTheme="minorEastAsia" w:hAnsi="AGaramondPro-Regular" w:cs="AGaramondPro-Regular"/>
          <w:color w:val="000000"/>
          <w:sz w:val="22"/>
          <w:szCs w:val="22"/>
        </w:rPr>
        <w:t xml:space="preserve"> program, attendance at conferences, and/or participation in relevant board retreats/workshops</w:t>
      </w:r>
    </w:p>
    <w:p w14:paraId="22D0EBB7" w14:textId="77777777" w:rsidR="003E4356" w:rsidRPr="00B21277" w:rsidRDefault="003E4356" w:rsidP="00B21277">
      <w:pPr>
        <w:pStyle w:val="ListParagraph"/>
        <w:widowControl w:val="0"/>
        <w:numPr>
          <w:ilvl w:val="0"/>
          <w:numId w:val="11"/>
        </w:numPr>
        <w:suppressAutoHyphens/>
        <w:autoSpaceDE w:val="0"/>
        <w:autoSpaceDN w:val="0"/>
        <w:adjustRightInd w:val="0"/>
        <w:spacing w:after="90" w:line="288" w:lineRule="auto"/>
        <w:ind w:left="54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 xml:space="preserve">Board members will uphold trustee communication protocols related to the community, college employees, and the media. </w:t>
      </w:r>
    </w:p>
    <w:p w14:paraId="43EF9B94" w14:textId="77777777" w:rsidR="003E4356" w:rsidRPr="00B21277" w:rsidRDefault="003E4356" w:rsidP="00B21277">
      <w:pPr>
        <w:pStyle w:val="ListParagraph"/>
        <w:widowControl w:val="0"/>
        <w:numPr>
          <w:ilvl w:val="0"/>
          <w:numId w:val="10"/>
        </w:numPr>
        <w:suppressAutoHyphens/>
        <w:autoSpaceDE w:val="0"/>
        <w:autoSpaceDN w:val="0"/>
        <w:adjustRightInd w:val="0"/>
        <w:spacing w:after="180" w:line="288" w:lineRule="auto"/>
        <w:ind w:left="108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Board tasks may be to have a workshop to review and develop communication protocols, or provide media training to board members.</w:t>
      </w:r>
    </w:p>
    <w:p w14:paraId="5A305D46" w14:textId="77777777" w:rsidR="003E4356" w:rsidRPr="00B21277" w:rsidRDefault="003E4356" w:rsidP="00B21277">
      <w:pPr>
        <w:pStyle w:val="ListParagraph"/>
        <w:widowControl w:val="0"/>
        <w:numPr>
          <w:ilvl w:val="0"/>
          <w:numId w:val="11"/>
        </w:numPr>
        <w:suppressAutoHyphens/>
        <w:autoSpaceDE w:val="0"/>
        <w:autoSpaceDN w:val="0"/>
        <w:adjustRightInd w:val="0"/>
        <w:spacing w:after="90" w:line="288" w:lineRule="auto"/>
        <w:ind w:left="54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 xml:space="preserve">Participate appropriately in the accreditation self-study. </w:t>
      </w:r>
    </w:p>
    <w:p w14:paraId="0C771E79" w14:textId="77777777" w:rsidR="003E4356" w:rsidRPr="00B21277" w:rsidRDefault="003E4356" w:rsidP="00B21277">
      <w:pPr>
        <w:pStyle w:val="ListParagraph"/>
        <w:widowControl w:val="0"/>
        <w:numPr>
          <w:ilvl w:val="0"/>
          <w:numId w:val="10"/>
        </w:numPr>
        <w:suppressAutoHyphens/>
        <w:autoSpaceDE w:val="0"/>
        <w:autoSpaceDN w:val="0"/>
        <w:adjustRightInd w:val="0"/>
        <w:spacing w:after="90" w:line="288" w:lineRule="auto"/>
        <w:ind w:left="1080"/>
        <w:textAlignment w:val="center"/>
        <w:rPr>
          <w:rFonts w:ascii="AGaramondPro-Regular" w:eastAsiaTheme="minorEastAsia" w:hAnsi="AGaramondPro-Regular" w:cs="AGaramondPro-Regular"/>
          <w:color w:val="000000"/>
          <w:sz w:val="22"/>
          <w:szCs w:val="22"/>
        </w:rPr>
      </w:pPr>
      <w:r w:rsidRPr="00B21277">
        <w:rPr>
          <w:rFonts w:ascii="AGaramondPro-Regular" w:eastAsiaTheme="minorEastAsia" w:hAnsi="AGaramondPro-Regular" w:cs="AGaramondPro-Regular"/>
          <w:color w:val="000000"/>
          <w:sz w:val="22"/>
          <w:szCs w:val="22"/>
        </w:rPr>
        <w:t xml:space="preserve">Board tasks may include a board workshop on the board’s role in accreditation, </w:t>
      </w:r>
      <w:r w:rsidRPr="00B21277">
        <w:rPr>
          <w:rFonts w:ascii="AGaramondPro-Regular" w:eastAsiaTheme="minorEastAsia" w:hAnsi="AGaramondPro-Regular" w:cs="AGaramondPro-Regular"/>
          <w:color w:val="000000"/>
          <w:sz w:val="22"/>
          <w:szCs w:val="22"/>
        </w:rPr>
        <w:br/>
        <w:t>receiving regular reports on self-study progress, active involvement in responding to Standard IV.C, and approving the self-study report.</w:t>
      </w:r>
    </w:p>
    <w:p w14:paraId="1DB6A6B7" w14:textId="77777777" w:rsidR="00B21277" w:rsidRDefault="00B21277" w:rsidP="003E4356">
      <w:pPr>
        <w:widowControl w:val="0"/>
        <w:suppressAutoHyphens/>
        <w:autoSpaceDE w:val="0"/>
        <w:autoSpaceDN w:val="0"/>
        <w:adjustRightInd w:val="0"/>
        <w:spacing w:line="288" w:lineRule="auto"/>
        <w:textAlignment w:val="center"/>
        <w:rPr>
          <w:rFonts w:ascii="AGaramondPro-BoldItalic" w:eastAsiaTheme="minorEastAsia" w:hAnsi="AGaramondPro-BoldItalic" w:cs="AGaramondPro-BoldItalic"/>
          <w:b/>
          <w:bCs/>
          <w:i/>
          <w:iCs/>
          <w:color w:val="000000"/>
          <w:sz w:val="22"/>
          <w:szCs w:val="22"/>
        </w:rPr>
      </w:pPr>
    </w:p>
    <w:p w14:paraId="50D8CBD7" w14:textId="77777777" w:rsidR="003E4356" w:rsidRPr="003E4356" w:rsidRDefault="003E4356" w:rsidP="003E4356">
      <w:pPr>
        <w:widowControl w:val="0"/>
        <w:suppressAutoHyphens/>
        <w:autoSpaceDE w:val="0"/>
        <w:autoSpaceDN w:val="0"/>
        <w:adjustRightInd w:val="0"/>
        <w:spacing w:line="288" w:lineRule="auto"/>
        <w:textAlignment w:val="center"/>
        <w:rPr>
          <w:rFonts w:ascii="AGaramondPro-BoldItalic" w:eastAsiaTheme="minorEastAsia" w:hAnsi="AGaramondPro-BoldItalic" w:cs="AGaramondPro-BoldItalic"/>
          <w:b/>
          <w:bCs/>
          <w:i/>
          <w:iCs/>
          <w:color w:val="000000"/>
          <w:sz w:val="22"/>
          <w:szCs w:val="22"/>
        </w:rPr>
      </w:pPr>
      <w:r w:rsidRPr="003E4356">
        <w:rPr>
          <w:rFonts w:ascii="AGaramondPro-BoldItalic" w:eastAsiaTheme="minorEastAsia" w:hAnsi="AGaramondPro-BoldItalic" w:cs="AGaramondPro-BoldItalic"/>
          <w:b/>
          <w:bCs/>
          <w:i/>
          <w:iCs/>
          <w:color w:val="000000"/>
          <w:sz w:val="22"/>
          <w:szCs w:val="22"/>
        </w:rPr>
        <w:t>Relationship with Other Surveys</w:t>
      </w:r>
    </w:p>
    <w:p w14:paraId="2810E6AD" w14:textId="77777777" w:rsidR="00992CC5" w:rsidRPr="003E4356" w:rsidRDefault="003E4356" w:rsidP="003E4356">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3E4356">
        <w:rPr>
          <w:rFonts w:ascii="AGaramondPro-Regular" w:eastAsiaTheme="minorEastAsia" w:hAnsi="AGaramondPro-Regular" w:cs="AGaramondPro-Regular"/>
          <w:color w:val="000000"/>
          <w:sz w:val="22"/>
          <w:szCs w:val="22"/>
        </w:rPr>
        <w:t xml:space="preserve">In addition to these criteria, boards may wish to add items related to general board functioning (see Sample 2), accreditation criteria (see Sample 3), and/or a few open-ended questions (see page 24). Items from the board’s code of ethics, communication protocols, or delegation to the CEO policy may also be added as desired. </w:t>
      </w:r>
    </w:p>
    <w:sectPr w:rsidR="00992CC5" w:rsidRPr="003E4356" w:rsidSect="003E435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illSansMT-Bold">
    <w:altName w:val="Gill Sans MT"/>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GaramondPro-BoldItalic">
    <w:altName w:val="Adobe Garamond Pro"/>
    <w:panose1 w:val="00000000000000000000"/>
    <w:charset w:val="4D"/>
    <w:family w:val="auto"/>
    <w:notTrueType/>
    <w:pitch w:val="default"/>
    <w:sig w:usb0="00000003" w:usb1="00000000" w:usb2="00000000" w:usb3="00000000" w:csb0="00000001"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AGaramondPro-Italic">
    <w:altName w:val="Adobe Garamond Pro"/>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F6C"/>
    <w:multiLevelType w:val="hybridMultilevel"/>
    <w:tmpl w:val="969A28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C4503D"/>
    <w:multiLevelType w:val="hybridMultilevel"/>
    <w:tmpl w:val="6002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319D4"/>
    <w:multiLevelType w:val="hybridMultilevel"/>
    <w:tmpl w:val="399A59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8D5C47"/>
    <w:multiLevelType w:val="hybridMultilevel"/>
    <w:tmpl w:val="FC363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F55899"/>
    <w:multiLevelType w:val="hybridMultilevel"/>
    <w:tmpl w:val="65749556"/>
    <w:lvl w:ilvl="0" w:tplc="BAE0CDE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497E53"/>
    <w:multiLevelType w:val="hybridMultilevel"/>
    <w:tmpl w:val="1868A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BE3C07"/>
    <w:multiLevelType w:val="hybridMultilevel"/>
    <w:tmpl w:val="DFF08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EF3947"/>
    <w:multiLevelType w:val="hybridMultilevel"/>
    <w:tmpl w:val="115C5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7821B0"/>
    <w:multiLevelType w:val="hybridMultilevel"/>
    <w:tmpl w:val="F6E08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835902"/>
    <w:multiLevelType w:val="hybridMultilevel"/>
    <w:tmpl w:val="710C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C687C"/>
    <w:multiLevelType w:val="hybridMultilevel"/>
    <w:tmpl w:val="47DADD1A"/>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7"/>
  </w:num>
  <w:num w:numId="6">
    <w:abstractNumId w:val="4"/>
  </w:num>
  <w:num w:numId="7">
    <w:abstractNumId w:val="5"/>
  </w:num>
  <w:num w:numId="8">
    <w:abstractNumId w:val="2"/>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00"/>
    <w:rsid w:val="003C7F52"/>
    <w:rsid w:val="003E4356"/>
    <w:rsid w:val="00992CC5"/>
    <w:rsid w:val="00B21277"/>
    <w:rsid w:val="00F64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9D39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00"/>
    <w:rPr>
      <w:rFonts w:ascii="Times New Roman" w:eastAsia="Times New Roman" w:hAnsi="Times New Roman" w:cs="Times New Roman"/>
      <w:szCs w:val="20"/>
    </w:rPr>
  </w:style>
  <w:style w:type="paragraph" w:styleId="Heading1">
    <w:name w:val="heading 1"/>
    <w:basedOn w:val="Normal"/>
    <w:next w:val="Normal"/>
    <w:link w:val="Heading1Char"/>
    <w:qFormat/>
    <w:rsid w:val="00F6430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300"/>
    <w:rPr>
      <w:rFonts w:ascii="Arial" w:eastAsia="Times New Roman" w:hAnsi="Arial" w:cs="Arial"/>
      <w:b/>
      <w:bCs/>
      <w:kern w:val="32"/>
      <w:sz w:val="32"/>
      <w:szCs w:val="32"/>
    </w:rPr>
  </w:style>
  <w:style w:type="paragraph" w:styleId="ListParagraph">
    <w:name w:val="List Paragraph"/>
    <w:basedOn w:val="Normal"/>
    <w:uiPriority w:val="34"/>
    <w:qFormat/>
    <w:rsid w:val="00F64300"/>
    <w:pPr>
      <w:ind w:left="720"/>
      <w:contextualSpacing/>
    </w:pPr>
  </w:style>
  <w:style w:type="paragraph" w:customStyle="1" w:styleId="Subhead2">
    <w:name w:val="Subhead2"/>
    <w:basedOn w:val="Normal"/>
    <w:uiPriority w:val="99"/>
    <w:rsid w:val="003E4356"/>
    <w:pPr>
      <w:widowControl w:val="0"/>
      <w:suppressAutoHyphens/>
      <w:autoSpaceDE w:val="0"/>
      <w:autoSpaceDN w:val="0"/>
      <w:adjustRightInd w:val="0"/>
      <w:spacing w:line="480" w:lineRule="atLeast"/>
      <w:textAlignment w:val="center"/>
    </w:pPr>
    <w:rPr>
      <w:rFonts w:ascii="GillSansMT-Bold" w:eastAsiaTheme="minorEastAsia" w:hAnsi="GillSansMT-Bold" w:cs="GillSansMT-Bold"/>
      <w:b/>
      <w:bCs/>
      <w:color w:val="000000"/>
      <w:szCs w:val="24"/>
    </w:rPr>
  </w:style>
  <w:style w:type="paragraph" w:customStyle="1" w:styleId="Bullet">
    <w:name w:val="Bullet"/>
    <w:basedOn w:val="Normal"/>
    <w:uiPriority w:val="99"/>
    <w:rsid w:val="003E4356"/>
    <w:pPr>
      <w:widowControl w:val="0"/>
      <w:suppressAutoHyphens/>
      <w:autoSpaceDE w:val="0"/>
      <w:autoSpaceDN w:val="0"/>
      <w:adjustRightInd w:val="0"/>
      <w:spacing w:after="180" w:line="288" w:lineRule="auto"/>
      <w:ind w:left="540" w:hanging="180"/>
      <w:textAlignment w:val="center"/>
    </w:pPr>
    <w:rPr>
      <w:rFonts w:ascii="AGaramondPro-Regular" w:eastAsiaTheme="minorEastAsia" w:hAnsi="AGaramondPro-Regular" w:cs="AGaramondPro-Regular"/>
      <w:color w:val="000000"/>
      <w:sz w:val="22"/>
      <w:szCs w:val="22"/>
    </w:rPr>
  </w:style>
  <w:style w:type="paragraph" w:customStyle="1" w:styleId="NumberedList">
    <w:name w:val="Numbered List"/>
    <w:basedOn w:val="Bullet"/>
    <w:uiPriority w:val="99"/>
    <w:rsid w:val="003E4356"/>
    <w:pPr>
      <w:ind w:left="720" w:hanging="360"/>
    </w:pPr>
  </w:style>
  <w:style w:type="paragraph" w:customStyle="1" w:styleId="BasicParagraph">
    <w:name w:val="[Basic Paragraph]"/>
    <w:basedOn w:val="Normal"/>
    <w:uiPriority w:val="99"/>
    <w:rsid w:val="003E4356"/>
    <w:pPr>
      <w:widowControl w:val="0"/>
      <w:autoSpaceDE w:val="0"/>
      <w:autoSpaceDN w:val="0"/>
      <w:adjustRightInd w:val="0"/>
      <w:spacing w:line="288" w:lineRule="auto"/>
      <w:textAlignment w:val="center"/>
    </w:pPr>
    <w:rPr>
      <w:rFonts w:ascii="TimesNewRomanPSMT" w:eastAsiaTheme="minorEastAsia" w:hAnsi="TimesNewRomanPSMT" w:cs="TimesNewRomanPSMT"/>
      <w:color w:val="00000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00"/>
    <w:rPr>
      <w:rFonts w:ascii="Times New Roman" w:eastAsia="Times New Roman" w:hAnsi="Times New Roman" w:cs="Times New Roman"/>
      <w:szCs w:val="20"/>
    </w:rPr>
  </w:style>
  <w:style w:type="paragraph" w:styleId="Heading1">
    <w:name w:val="heading 1"/>
    <w:basedOn w:val="Normal"/>
    <w:next w:val="Normal"/>
    <w:link w:val="Heading1Char"/>
    <w:qFormat/>
    <w:rsid w:val="00F6430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300"/>
    <w:rPr>
      <w:rFonts w:ascii="Arial" w:eastAsia="Times New Roman" w:hAnsi="Arial" w:cs="Arial"/>
      <w:b/>
      <w:bCs/>
      <w:kern w:val="32"/>
      <w:sz w:val="32"/>
      <w:szCs w:val="32"/>
    </w:rPr>
  </w:style>
  <w:style w:type="paragraph" w:styleId="ListParagraph">
    <w:name w:val="List Paragraph"/>
    <w:basedOn w:val="Normal"/>
    <w:uiPriority w:val="34"/>
    <w:qFormat/>
    <w:rsid w:val="00F64300"/>
    <w:pPr>
      <w:ind w:left="720"/>
      <w:contextualSpacing/>
    </w:pPr>
  </w:style>
  <w:style w:type="paragraph" w:customStyle="1" w:styleId="Subhead2">
    <w:name w:val="Subhead2"/>
    <w:basedOn w:val="Normal"/>
    <w:uiPriority w:val="99"/>
    <w:rsid w:val="003E4356"/>
    <w:pPr>
      <w:widowControl w:val="0"/>
      <w:suppressAutoHyphens/>
      <w:autoSpaceDE w:val="0"/>
      <w:autoSpaceDN w:val="0"/>
      <w:adjustRightInd w:val="0"/>
      <w:spacing w:line="480" w:lineRule="atLeast"/>
      <w:textAlignment w:val="center"/>
    </w:pPr>
    <w:rPr>
      <w:rFonts w:ascii="GillSansMT-Bold" w:eastAsiaTheme="minorEastAsia" w:hAnsi="GillSansMT-Bold" w:cs="GillSansMT-Bold"/>
      <w:b/>
      <w:bCs/>
      <w:color w:val="000000"/>
      <w:szCs w:val="24"/>
    </w:rPr>
  </w:style>
  <w:style w:type="paragraph" w:customStyle="1" w:styleId="Bullet">
    <w:name w:val="Bullet"/>
    <w:basedOn w:val="Normal"/>
    <w:uiPriority w:val="99"/>
    <w:rsid w:val="003E4356"/>
    <w:pPr>
      <w:widowControl w:val="0"/>
      <w:suppressAutoHyphens/>
      <w:autoSpaceDE w:val="0"/>
      <w:autoSpaceDN w:val="0"/>
      <w:adjustRightInd w:val="0"/>
      <w:spacing w:after="180" w:line="288" w:lineRule="auto"/>
      <w:ind w:left="540" w:hanging="180"/>
      <w:textAlignment w:val="center"/>
    </w:pPr>
    <w:rPr>
      <w:rFonts w:ascii="AGaramondPro-Regular" w:eastAsiaTheme="minorEastAsia" w:hAnsi="AGaramondPro-Regular" w:cs="AGaramondPro-Regular"/>
      <w:color w:val="000000"/>
      <w:sz w:val="22"/>
      <w:szCs w:val="22"/>
    </w:rPr>
  </w:style>
  <w:style w:type="paragraph" w:customStyle="1" w:styleId="NumberedList">
    <w:name w:val="Numbered List"/>
    <w:basedOn w:val="Bullet"/>
    <w:uiPriority w:val="99"/>
    <w:rsid w:val="003E4356"/>
    <w:pPr>
      <w:ind w:left="720" w:hanging="360"/>
    </w:pPr>
  </w:style>
  <w:style w:type="paragraph" w:customStyle="1" w:styleId="BasicParagraph">
    <w:name w:val="[Basic Paragraph]"/>
    <w:basedOn w:val="Normal"/>
    <w:uiPriority w:val="99"/>
    <w:rsid w:val="003E4356"/>
    <w:pPr>
      <w:widowControl w:val="0"/>
      <w:autoSpaceDE w:val="0"/>
      <w:autoSpaceDN w:val="0"/>
      <w:adjustRightInd w:val="0"/>
      <w:spacing w:line="288" w:lineRule="auto"/>
      <w:textAlignment w:val="center"/>
    </w:pPr>
    <w:rPr>
      <w:rFonts w:ascii="TimesNewRomanPSMT" w:eastAsiaTheme="minorEastAsia" w:hAnsi="TimesNewRomanPSMT" w:cs="TimesNewRomanPSMT"/>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764</Words>
  <Characters>4358</Characters>
  <Application>Microsoft Macintosh Word</Application>
  <DocSecurity>0</DocSecurity>
  <Lines>36</Lines>
  <Paragraphs>10</Paragraphs>
  <ScaleCrop>false</ScaleCrop>
  <Company>CCLC</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DeMelo</dc:creator>
  <cp:keywords/>
  <dc:description/>
  <cp:lastModifiedBy>Samantha DeMelo</cp:lastModifiedBy>
  <cp:revision>4</cp:revision>
  <dcterms:created xsi:type="dcterms:W3CDTF">2015-06-26T17:33:00Z</dcterms:created>
  <dcterms:modified xsi:type="dcterms:W3CDTF">2015-07-08T16:48:00Z</dcterms:modified>
</cp:coreProperties>
</file>